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22" w:rsidRPr="006C5157" w:rsidRDefault="006C5157" w:rsidP="00DD23D7">
      <w:pPr>
        <w:snapToGrid w:val="0"/>
        <w:spacing w:line="300" w:lineRule="auto"/>
        <w:ind w:leftChars="150" w:left="1200" w:rightChars="150" w:right="360" w:hangingChars="300" w:hanging="84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6C5157">
        <w:rPr>
          <w:rFonts w:ascii="標楷體" w:eastAsia="標楷體" w:hAnsi="標楷體" w:hint="eastAsia"/>
          <w:sz w:val="28"/>
          <w:szCs w:val="28"/>
        </w:rPr>
        <w:t>附表</w:t>
      </w:r>
      <w:bookmarkEnd w:id="0"/>
      <w:r w:rsidRPr="006C5157">
        <w:rPr>
          <w:rFonts w:ascii="標楷體" w:eastAsia="標楷體" w:hAnsi="標楷體" w:hint="eastAsia"/>
          <w:sz w:val="28"/>
          <w:szCs w:val="28"/>
        </w:rPr>
        <w:t>：</w:t>
      </w:r>
      <w:r w:rsidR="00C3248C" w:rsidRPr="00C3248C">
        <w:rPr>
          <w:rFonts w:ascii="標楷體" w:eastAsia="標楷體" w:hAnsi="標楷體" w:hint="eastAsia"/>
          <w:sz w:val="28"/>
          <w:szCs w:val="28"/>
        </w:rPr>
        <w:t>臺灣高等法院一</w:t>
      </w:r>
      <w:r w:rsidR="00BB0499">
        <w:rPr>
          <w:rFonts w:ascii="標楷體" w:eastAsia="標楷體" w:hAnsi="標楷體" w:hint="eastAsia"/>
          <w:sz w:val="28"/>
          <w:szCs w:val="28"/>
        </w:rPr>
        <w:t>百</w:t>
      </w:r>
      <w:r w:rsidR="00C3248C" w:rsidRPr="00C3248C">
        <w:rPr>
          <w:rFonts w:ascii="標楷體" w:eastAsia="標楷體" w:hAnsi="標楷體" w:hint="eastAsia"/>
          <w:sz w:val="28"/>
          <w:szCs w:val="28"/>
        </w:rPr>
        <w:t>零六年十月二十七日一</w:t>
      </w:r>
      <w:r w:rsidR="00BB0499">
        <w:rPr>
          <w:rFonts w:ascii="標楷體" w:eastAsia="標楷體" w:hAnsi="標楷體" w:hint="eastAsia"/>
          <w:sz w:val="28"/>
          <w:szCs w:val="28"/>
        </w:rPr>
        <w:t>百</w:t>
      </w:r>
      <w:r w:rsidR="00C3248C" w:rsidRPr="00C3248C">
        <w:rPr>
          <w:rFonts w:ascii="標楷體" w:eastAsia="標楷體" w:hAnsi="標楷體" w:hint="eastAsia"/>
          <w:sz w:val="28"/>
          <w:szCs w:val="28"/>
        </w:rPr>
        <w:t>零四年度重上字第五零五號判決</w:t>
      </w:r>
      <w:r w:rsidRPr="006C5157">
        <w:rPr>
          <w:rFonts w:ascii="標楷體" w:eastAsia="標楷體" w:hAnsi="標楷體" w:hint="eastAsia"/>
          <w:sz w:val="28"/>
          <w:szCs w:val="28"/>
        </w:rPr>
        <w:t>引用</w:t>
      </w:r>
      <w:r w:rsidR="00C3248C" w:rsidRPr="00C3248C">
        <w:rPr>
          <w:rFonts w:ascii="標楷體" w:eastAsia="標楷體" w:hAnsi="標楷體" w:hint="eastAsia"/>
          <w:sz w:val="28"/>
          <w:szCs w:val="28"/>
        </w:rPr>
        <w:t>國際癌症研究總署（IARC）、美國環境保護署（U.S.EPA）及美國疾病管制局(CDC)</w:t>
      </w:r>
      <w:r w:rsidRPr="006C5157">
        <w:rPr>
          <w:rFonts w:ascii="標楷體" w:eastAsia="標楷體" w:hAnsi="標楷體" w:hint="eastAsia"/>
          <w:sz w:val="28"/>
          <w:szCs w:val="28"/>
        </w:rPr>
        <w:t>綜合評估暴露特定化學物質導致罹患特定癌症及疾病種類表</w:t>
      </w:r>
    </w:p>
    <w:p w:rsidR="006C5157" w:rsidRPr="006C5157" w:rsidRDefault="006C5157" w:rsidP="006C5157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2016"/>
        <w:gridCol w:w="336"/>
        <w:gridCol w:w="2016"/>
        <w:gridCol w:w="336"/>
        <w:gridCol w:w="4536"/>
      </w:tblGrid>
      <w:tr w:rsidR="006C5157" w:rsidRPr="006C5157" w:rsidTr="00C3248C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腦癌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腎臟癌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睪丸癌(含間質細胞睪丸瘤)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鼻竇癌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膽道癌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白血病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口腔癌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胰腺癌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皮膚癌(含皮膚黑色素瘤)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咽、喉癌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大腸直腸癌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惡性淋巴瘤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甲狀腺癌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結腸癌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胎盤轉移性內分泌腺瘤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食道癌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卵巢癌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多發性骨髓癌(瘤)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肺癌(含肺腺瘤)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乳癌(含乳腺瘤)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造血系統癌症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胃腸道瘤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子宮頸癌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血管肉瘤(含肝、脾、皮膚血管肉瘤)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胃癌(含胃腺癌)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膀胱癌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結締組織與軟組織惡性腫瘤</w:t>
            </w:r>
          </w:p>
        </w:tc>
      </w:tr>
      <w:tr w:rsidR="006C5157" w:rsidRPr="006C5157" w:rsidTr="00C3248C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肝癌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515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157">
              <w:rPr>
                <w:rFonts w:ascii="標楷體" w:eastAsia="標楷體" w:hAnsi="標楷體" w:cs="Times New Roman" w:hint="eastAsia"/>
                <w:sz w:val="28"/>
                <w:szCs w:val="28"/>
              </w:rPr>
              <w:t>前列腺癌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157" w:rsidRPr="006C5157" w:rsidRDefault="006C5157" w:rsidP="006C515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157" w:rsidRPr="006C5157" w:rsidRDefault="006C5157" w:rsidP="006C515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6C5157" w:rsidRPr="006C5157" w:rsidRDefault="006C5157" w:rsidP="006C5157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6C5157" w:rsidRPr="006C5157" w:rsidSect="00C324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47" w:rsidRDefault="00D36147"/>
  </w:endnote>
  <w:endnote w:type="continuationSeparator" w:id="0">
    <w:p w:rsidR="00D36147" w:rsidRDefault="00D36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47" w:rsidRDefault="00D36147"/>
  </w:footnote>
  <w:footnote w:type="continuationSeparator" w:id="0">
    <w:p w:rsidR="00D36147" w:rsidRDefault="00D361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7"/>
    <w:rsid w:val="00020578"/>
    <w:rsid w:val="006C5157"/>
    <w:rsid w:val="008B2111"/>
    <w:rsid w:val="00BB0499"/>
    <w:rsid w:val="00BC4255"/>
    <w:rsid w:val="00C3248C"/>
    <w:rsid w:val="00C62822"/>
    <w:rsid w:val="00D36147"/>
    <w:rsid w:val="00D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46B28-59E7-4BAD-B7BD-F9BB36FA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04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0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李政霖</cp:lastModifiedBy>
  <cp:revision>2</cp:revision>
  <cp:lastPrinted>2018-04-19T08:12:00Z</cp:lastPrinted>
  <dcterms:created xsi:type="dcterms:W3CDTF">2018-06-04T06:39:00Z</dcterms:created>
  <dcterms:modified xsi:type="dcterms:W3CDTF">2018-06-04T06:39:00Z</dcterms:modified>
</cp:coreProperties>
</file>